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EC" w:rsidRPr="0022355A" w:rsidRDefault="007703EC" w:rsidP="007703EC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t>ДОГОВОР ПОСТАВКИ  № ___/2023</w:t>
      </w:r>
    </w:p>
    <w:p w:rsidR="007703EC" w:rsidRPr="0022355A" w:rsidRDefault="007703EC" w:rsidP="007703EC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 xml:space="preserve">                               </w:t>
      </w:r>
      <w:r w:rsidRPr="0022355A">
        <w:rPr>
          <w:sz w:val="22"/>
          <w:szCs w:val="22"/>
        </w:rPr>
        <w:t>«___» _______ 2023г.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7703EC" w:rsidRPr="0022355A" w:rsidRDefault="007703EC" w:rsidP="007703EC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bookmarkEnd w:id="0"/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7703EC" w:rsidRPr="0022355A" w:rsidRDefault="007703EC" w:rsidP="007703EC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7703EC" w:rsidRPr="0022355A" w:rsidRDefault="007703EC" w:rsidP="007703EC">
      <w:pPr>
        <w:widowControl w:val="0"/>
        <w:numPr>
          <w:ilvl w:val="1"/>
          <w:numId w:val="2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7703EC" w:rsidRPr="0022355A" w:rsidRDefault="007703EC" w:rsidP="007703EC">
      <w:pPr>
        <w:widowControl w:val="0"/>
        <w:spacing w:after="0"/>
        <w:rPr>
          <w:bCs/>
          <w:sz w:val="22"/>
          <w:szCs w:val="22"/>
        </w:rPr>
      </w:pPr>
    </w:p>
    <w:p w:rsidR="007703EC" w:rsidRPr="0022355A" w:rsidRDefault="007703EC" w:rsidP="007703EC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7703EC" w:rsidRPr="0022355A" w:rsidRDefault="007703EC" w:rsidP="007703EC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7703EC" w:rsidRPr="0022355A" w:rsidRDefault="007703EC" w:rsidP="007703EC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7703EC" w:rsidRPr="0022355A" w:rsidRDefault="007703EC" w:rsidP="007703EC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7703EC" w:rsidRPr="0022355A" w:rsidRDefault="007703EC" w:rsidP="007703EC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</w:t>
      </w:r>
      <w:r w:rsidRPr="0022355A">
        <w:rPr>
          <w:rFonts w:ascii="Times New Roman" w:eastAsia="Times New Roman" w:hAnsi="Times New Roman"/>
          <w:lang w:eastAsia="ru-RU"/>
        </w:rPr>
        <w:lastRenderedPageBreak/>
        <w:t>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7703EC" w:rsidRPr="0022355A" w:rsidRDefault="007703EC" w:rsidP="007703EC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никшие в случае наступления любого из следующих обстоятельств:</w:t>
      </w:r>
    </w:p>
    <w:p w:rsidR="007703EC" w:rsidRPr="0022355A" w:rsidRDefault="007703EC" w:rsidP="007703E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7703EC" w:rsidRPr="0022355A" w:rsidRDefault="007703EC" w:rsidP="007703E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7703EC" w:rsidRPr="0022355A" w:rsidRDefault="007703EC" w:rsidP="007703E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7703EC" w:rsidRPr="0022355A" w:rsidRDefault="007703EC" w:rsidP="007703EC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7703EC" w:rsidRPr="0022355A" w:rsidRDefault="007703EC" w:rsidP="007703EC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7703EC" w:rsidRPr="0022355A" w:rsidRDefault="007703EC" w:rsidP="007703EC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7703EC" w:rsidRPr="0022355A" w:rsidRDefault="007703EC" w:rsidP="007703EC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7703EC" w:rsidRPr="0022355A" w:rsidRDefault="007703EC" w:rsidP="007703EC">
      <w:pPr>
        <w:pStyle w:val="a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7703EC" w:rsidRPr="0022355A" w:rsidRDefault="007703EC" w:rsidP="007703EC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7703EC" w:rsidRPr="0022355A" w:rsidRDefault="007703EC" w:rsidP="007703EC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7703EC" w:rsidRPr="0022355A" w:rsidRDefault="007703EC" w:rsidP="007703EC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7703EC" w:rsidRPr="0022355A" w:rsidRDefault="007703EC" w:rsidP="007703EC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pStyle w:val="a3"/>
        <w:widowControl w:val="0"/>
        <w:numPr>
          <w:ilvl w:val="1"/>
          <w:numId w:val="8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>
        <w:rPr>
          <w:rFonts w:ascii="Times New Roman" w:eastAsia="Times New Roman" w:hAnsi="Times New Roman"/>
          <w:lang w:eastAsia="ru-RU"/>
        </w:rPr>
        <w:t>08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октября</w:t>
      </w:r>
      <w:r w:rsidRPr="0022355A">
        <w:rPr>
          <w:rFonts w:ascii="Times New Roman" w:eastAsia="Times New Roman" w:hAnsi="Times New Roman"/>
          <w:lang w:eastAsia="ru-RU"/>
        </w:rPr>
        <w:t xml:space="preserve"> 2023 г.</w:t>
      </w: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spacing w:after="0"/>
        <w:rPr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Прочие условия</w:t>
      </w:r>
    </w:p>
    <w:p w:rsidR="007703EC" w:rsidRPr="0022355A" w:rsidRDefault="007703EC" w:rsidP="007703EC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7703EC" w:rsidRPr="0022355A" w:rsidRDefault="007703EC" w:rsidP="007703EC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</w:t>
      </w:r>
      <w:r w:rsidRPr="0022355A">
        <w:rPr>
          <w:rFonts w:ascii="Times New Roman" w:eastAsia="Times New Roman" w:hAnsi="Times New Roman"/>
          <w:lang w:eastAsia="ru-RU"/>
        </w:rPr>
        <w:lastRenderedPageBreak/>
        <w:t>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7703EC" w:rsidRPr="0022355A" w:rsidRDefault="007703EC" w:rsidP="007703EC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7703EC" w:rsidRPr="0022355A" w:rsidRDefault="007703EC" w:rsidP="007703EC">
      <w:pPr>
        <w:widowControl w:val="0"/>
        <w:spacing w:after="0"/>
        <w:rPr>
          <w:b/>
          <w:sz w:val="22"/>
          <w:szCs w:val="22"/>
        </w:rPr>
      </w:pPr>
    </w:p>
    <w:p w:rsidR="007703EC" w:rsidRPr="0022355A" w:rsidRDefault="007703EC" w:rsidP="007703EC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7703EC" w:rsidRPr="0022355A" w:rsidTr="000F2C34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703EC" w:rsidRPr="0022355A" w:rsidRDefault="007703EC" w:rsidP="000F2C34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7703EC" w:rsidRPr="0022355A" w:rsidRDefault="007703EC" w:rsidP="000F2C34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7703EC" w:rsidRPr="0022355A" w:rsidTr="000F2C34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7703EC" w:rsidRPr="0022355A" w:rsidRDefault="007703EC" w:rsidP="000F2C34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7703EC" w:rsidRPr="0022355A" w:rsidTr="000F2C34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7703EC" w:rsidRPr="0022355A" w:rsidRDefault="007703EC" w:rsidP="000F2C34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7703EC" w:rsidRPr="000D7E91" w:rsidRDefault="007703EC" w:rsidP="007703EC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7703EC" w:rsidRPr="000D7E91" w:rsidRDefault="007703EC" w:rsidP="007703EC">
      <w:pPr>
        <w:widowControl w:val="0"/>
        <w:spacing w:before="60"/>
        <w:rPr>
          <w:sz w:val="20"/>
          <w:szCs w:val="20"/>
        </w:rPr>
      </w:pPr>
    </w:p>
    <w:p w:rsidR="007703EC" w:rsidRPr="000D7E91" w:rsidRDefault="007703EC" w:rsidP="007703EC">
      <w:pPr>
        <w:widowControl w:val="0"/>
        <w:spacing w:before="60"/>
        <w:rPr>
          <w:sz w:val="20"/>
          <w:szCs w:val="20"/>
        </w:rPr>
      </w:pPr>
    </w:p>
    <w:p w:rsidR="007703EC" w:rsidRPr="000D7E91" w:rsidRDefault="007703EC" w:rsidP="007703EC"/>
    <w:p w:rsidR="007703EC" w:rsidRPr="003432C6" w:rsidRDefault="007703EC" w:rsidP="007703EC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7703EC" w:rsidRPr="005008B2" w:rsidTr="000F2C34">
        <w:tc>
          <w:tcPr>
            <w:tcW w:w="5070" w:type="dxa"/>
          </w:tcPr>
          <w:p w:rsidR="007703EC" w:rsidRPr="00BF06FB" w:rsidRDefault="007703EC" w:rsidP="000F2C34">
            <w:pPr>
              <w:jc w:val="center"/>
            </w:pPr>
          </w:p>
        </w:tc>
        <w:tc>
          <w:tcPr>
            <w:tcW w:w="4853" w:type="dxa"/>
          </w:tcPr>
          <w:p w:rsidR="007703EC" w:rsidRPr="00BF06FB" w:rsidRDefault="007703EC" w:rsidP="000F2C34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7703EC" w:rsidRPr="005944CC" w:rsidTr="000F2C34">
        <w:tc>
          <w:tcPr>
            <w:tcW w:w="5070" w:type="dxa"/>
          </w:tcPr>
          <w:p w:rsidR="007703EC" w:rsidRPr="00BF06FB" w:rsidRDefault="007703EC" w:rsidP="000F2C34">
            <w:pPr>
              <w:keepNext/>
              <w:outlineLvl w:val="0"/>
            </w:pPr>
          </w:p>
        </w:tc>
        <w:tc>
          <w:tcPr>
            <w:tcW w:w="4853" w:type="dxa"/>
          </w:tcPr>
          <w:p w:rsidR="007703EC" w:rsidRPr="00BF06FB" w:rsidRDefault="007703EC" w:rsidP="000F2C34">
            <w:pPr>
              <w:ind w:left="21"/>
              <w:rPr>
                <w:b/>
                <w:color w:val="000000"/>
              </w:rPr>
            </w:pPr>
          </w:p>
        </w:tc>
      </w:tr>
      <w:tr w:rsidR="007703EC" w:rsidRPr="005008B2" w:rsidTr="000F2C34">
        <w:tc>
          <w:tcPr>
            <w:tcW w:w="5070" w:type="dxa"/>
          </w:tcPr>
          <w:p w:rsidR="007703EC" w:rsidRPr="005008B2" w:rsidRDefault="007703EC" w:rsidP="000F2C34"/>
        </w:tc>
        <w:tc>
          <w:tcPr>
            <w:tcW w:w="4853" w:type="dxa"/>
          </w:tcPr>
          <w:p w:rsidR="007703EC" w:rsidRPr="005008B2" w:rsidRDefault="007703EC" w:rsidP="000F2C34">
            <w:pPr>
              <w:ind w:left="21"/>
              <w:rPr>
                <w:b/>
                <w:color w:val="000000"/>
              </w:rPr>
            </w:pPr>
          </w:p>
        </w:tc>
      </w:tr>
      <w:tr w:rsidR="007703EC" w:rsidRPr="005008B2" w:rsidTr="000F2C34">
        <w:tc>
          <w:tcPr>
            <w:tcW w:w="5070" w:type="dxa"/>
          </w:tcPr>
          <w:p w:rsidR="007703EC" w:rsidRPr="005008B2" w:rsidRDefault="007703EC" w:rsidP="000F2C34">
            <w:pPr>
              <w:rPr>
                <w:b/>
              </w:rPr>
            </w:pPr>
          </w:p>
        </w:tc>
        <w:tc>
          <w:tcPr>
            <w:tcW w:w="4853" w:type="dxa"/>
          </w:tcPr>
          <w:p w:rsidR="007703EC" w:rsidRPr="005008B2" w:rsidRDefault="007703EC" w:rsidP="000F2C34">
            <w:pPr>
              <w:ind w:left="21"/>
              <w:rPr>
                <w:b/>
                <w:color w:val="000000"/>
              </w:rPr>
            </w:pPr>
          </w:p>
        </w:tc>
      </w:tr>
    </w:tbl>
    <w:p w:rsidR="007703EC" w:rsidRPr="008161F7" w:rsidRDefault="007703EC" w:rsidP="007703EC">
      <w:pPr>
        <w:pStyle w:val="ConsPlusNormal"/>
        <w:ind w:left="540" w:hanging="540"/>
        <w:jc w:val="both"/>
      </w:pPr>
    </w:p>
    <w:p w:rsidR="007703EC" w:rsidRPr="000D69ED" w:rsidRDefault="007703EC" w:rsidP="007703EC"/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rPr>
          <w:sz w:val="26"/>
          <w:szCs w:val="26"/>
        </w:rPr>
      </w:pPr>
    </w:p>
    <w:p w:rsidR="007703EC" w:rsidRDefault="007703EC" w:rsidP="007703EC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632"/>
        <w:gridCol w:w="222"/>
      </w:tblGrid>
      <w:tr w:rsidR="007703EC" w:rsidTr="000F2C34">
        <w:tc>
          <w:tcPr>
            <w:tcW w:w="9859" w:type="dxa"/>
            <w:hideMark/>
          </w:tcPr>
          <w:p w:rsidR="007703EC" w:rsidRDefault="007703EC" w:rsidP="000F2C34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268BDD69" wp14:editId="5EB9C25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7703EC" w:rsidRDefault="007703EC" w:rsidP="000F2C34">
            <w:pPr>
              <w:spacing w:after="0"/>
              <w:rPr>
                <w:i/>
                <w:iCs/>
              </w:rPr>
            </w:pPr>
          </w:p>
        </w:tc>
      </w:tr>
    </w:tbl>
    <w:p w:rsidR="007703EC" w:rsidRPr="0022355A" w:rsidRDefault="007703EC" w:rsidP="007703EC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7703EC" w:rsidRPr="0022355A" w:rsidTr="000F2C34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7703EC" w:rsidRPr="0022355A" w:rsidRDefault="007703EC" w:rsidP="000F2C34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7703EC" w:rsidRPr="0022355A" w:rsidRDefault="007703EC" w:rsidP="000F2C34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7703EC" w:rsidRPr="0022355A" w:rsidTr="000F2C34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7703EC" w:rsidRPr="0022355A" w:rsidRDefault="007703EC" w:rsidP="000F2C34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7703EC" w:rsidRPr="007C36BE" w:rsidRDefault="007703EC" w:rsidP="000F2C34">
            <w:pPr>
              <w:jc w:val="center"/>
              <w:rPr>
                <w:b/>
              </w:rPr>
            </w:pPr>
            <w:r w:rsidRPr="007C36BE">
              <w:rPr>
                <w:b/>
              </w:rPr>
              <w:t xml:space="preserve">на </w:t>
            </w:r>
            <w:proofErr w:type="gramStart"/>
            <w:r w:rsidRPr="007C36BE">
              <w:rPr>
                <w:b/>
              </w:rPr>
              <w:t>поставку</w:t>
            </w:r>
            <w:proofErr w:type="gramEnd"/>
            <w:r w:rsidRPr="007C36BE">
              <w:rPr>
                <w:b/>
              </w:rPr>
              <w:t xml:space="preserve"> на поставку аккумуляторных батарей M12V105FT для ООО «ОЭСК»</w:t>
            </w:r>
          </w:p>
        </w:tc>
      </w:tr>
    </w:tbl>
    <w:p w:rsidR="007703EC" w:rsidRPr="0022355A" w:rsidRDefault="007703EC" w:rsidP="007703EC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7703EC" w:rsidRPr="0022355A" w:rsidRDefault="007703EC" w:rsidP="007703EC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7703EC" w:rsidRPr="0022355A" w:rsidTr="000F2C34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703EC" w:rsidRPr="0022355A" w:rsidRDefault="007703EC" w:rsidP="000F2C34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7703EC" w:rsidRPr="0022355A" w:rsidRDefault="007703EC" w:rsidP="000F2C34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703EC" w:rsidRPr="0022355A" w:rsidRDefault="007703EC" w:rsidP="000F2C34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7703EC" w:rsidRPr="0022355A" w:rsidRDefault="007703EC" w:rsidP="000F2C34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7703EC" w:rsidRPr="0022355A" w:rsidTr="000F2C34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7703EC" w:rsidRPr="0022355A" w:rsidRDefault="007703EC" w:rsidP="000F2C34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7703EC" w:rsidRPr="0022355A" w:rsidRDefault="007703EC" w:rsidP="000F2C34">
            <w:pPr>
              <w:spacing w:after="0"/>
              <w:jc w:val="left"/>
              <w:rPr>
                <w:sz w:val="22"/>
                <w:szCs w:val="22"/>
              </w:rPr>
            </w:pPr>
            <w:r w:rsidRPr="007C36BE">
              <w:rPr>
                <w:spacing w:val="-6"/>
              </w:rPr>
              <w:t>аккумуляторн</w:t>
            </w:r>
            <w:r>
              <w:rPr>
                <w:spacing w:val="-6"/>
              </w:rPr>
              <w:t>ая</w:t>
            </w:r>
            <w:r w:rsidRPr="007C36BE">
              <w:rPr>
                <w:spacing w:val="-6"/>
              </w:rPr>
              <w:t xml:space="preserve"> батаре</w:t>
            </w:r>
            <w:r>
              <w:rPr>
                <w:spacing w:val="-6"/>
              </w:rPr>
              <w:t>я</w:t>
            </w:r>
            <w:r w:rsidRPr="007C36BE">
              <w:rPr>
                <w:spacing w:val="-6"/>
              </w:rPr>
              <w:t xml:space="preserve"> M12V105FT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703EC" w:rsidRPr="0022355A" w:rsidRDefault="007703EC" w:rsidP="000F2C34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7703EC" w:rsidRPr="0022355A" w:rsidRDefault="007703EC" w:rsidP="000F2C3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7703EC" w:rsidRPr="0022355A" w:rsidRDefault="007703EC" w:rsidP="007703EC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7703EC" w:rsidRPr="00995670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7703EC" w:rsidRPr="00995670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7703EC" w:rsidRPr="00995670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7703EC" w:rsidRPr="00995670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7703EC" w:rsidRPr="0022355A" w:rsidRDefault="007703EC" w:rsidP="007703E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7703EC" w:rsidRPr="0022355A" w:rsidRDefault="007703EC" w:rsidP="007703EC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7703EC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0"/>
        </w:tabs>
      </w:pPr>
      <w:r w:rsidRPr="00047AD4">
        <w:rPr>
          <w:b/>
        </w:rPr>
        <w:t>Условия оплаты продукции</w:t>
      </w:r>
      <w:r>
        <w:rPr>
          <w:sz w:val="26"/>
          <w:szCs w:val="28"/>
        </w:rPr>
        <w:t>: - «</w:t>
      </w:r>
      <w:r>
        <w:t>Заказчик»</w:t>
      </w:r>
      <w:r w:rsidRPr="00047AD4">
        <w:t xml:space="preserve">, производит </w:t>
      </w:r>
      <w:r>
        <w:t>предоплату</w:t>
      </w:r>
      <w:r w:rsidRPr="00047AD4">
        <w:t xml:space="preserve"> в размере </w:t>
      </w:r>
      <w:r>
        <w:t>50</w:t>
      </w:r>
      <w:r w:rsidRPr="00047AD4">
        <w:t xml:space="preserve">% после выставления счета оплаты «Поставщиком» в течение 5 календарных дней. </w:t>
      </w:r>
    </w:p>
    <w:p w:rsidR="007703EC" w:rsidRPr="007703EC" w:rsidRDefault="007703EC" w:rsidP="007703EC">
      <w:pPr>
        <w:pStyle w:val="ListNum"/>
        <w:numPr>
          <w:ilvl w:val="0"/>
          <w:numId w:val="0"/>
        </w:numPr>
      </w:pPr>
      <w:r w:rsidRPr="00EA402C">
        <w:t>После уведомления о готовности товара, «Заказчик» оплачивает оставшиеся 50%</w:t>
      </w:r>
      <w:r>
        <w:rPr>
          <w:b/>
        </w:rPr>
        <w:t xml:space="preserve"> </w:t>
      </w:r>
      <w:r w:rsidRPr="00047AD4">
        <w:t>после выставления счета оплаты «Поставщиком» в течение 5 календарных дней</w:t>
      </w:r>
      <w:bookmarkStart w:id="1" w:name="_GoBack"/>
      <w:bookmarkEnd w:id="1"/>
      <w:r w:rsidRPr="0022355A">
        <w:rPr>
          <w:szCs w:val="22"/>
        </w:rPr>
        <w:t>.</w:t>
      </w:r>
    </w:p>
    <w:p w:rsidR="007703EC" w:rsidRPr="0022355A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7703EC" w:rsidRPr="0022355A" w:rsidRDefault="007703EC" w:rsidP="007703EC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7703EC" w:rsidRPr="0022355A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7703EC" w:rsidRPr="0022355A" w:rsidRDefault="007703EC" w:rsidP="007703EC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7703EC" w:rsidRPr="0022355A" w:rsidRDefault="007703EC" w:rsidP="007703EC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7703EC" w:rsidRPr="0022355A" w:rsidRDefault="007703EC" w:rsidP="007703EC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7703EC" w:rsidRPr="0022355A" w:rsidRDefault="007703EC" w:rsidP="007703EC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7703EC" w:rsidRPr="0022355A" w:rsidRDefault="007703EC" w:rsidP="007703EC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7703EC" w:rsidRPr="0022355A" w:rsidRDefault="007703EC" w:rsidP="007703EC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7703EC" w:rsidRPr="0022355A" w:rsidRDefault="007703EC" w:rsidP="007703EC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7703EC" w:rsidRPr="0022355A" w:rsidRDefault="007703EC" w:rsidP="007703EC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7703EC" w:rsidRPr="0022355A" w:rsidRDefault="007703EC" w:rsidP="007703EC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</w:p>
    <w:p w:rsidR="007703EC" w:rsidRPr="0022355A" w:rsidRDefault="007703EC" w:rsidP="007703EC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7703EC" w:rsidRPr="0022355A" w:rsidRDefault="007703EC" w:rsidP="007703EC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7703EC" w:rsidRPr="0022355A" w:rsidRDefault="007703EC" w:rsidP="007703EC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7703EC" w:rsidRPr="0022355A" w:rsidRDefault="007703EC" w:rsidP="007703EC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7703EC" w:rsidRPr="0022355A" w:rsidRDefault="007703EC" w:rsidP="007703EC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7703EC" w:rsidRPr="0022355A" w:rsidRDefault="007703EC" w:rsidP="007703EC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7703EC" w:rsidRPr="0022355A" w:rsidRDefault="007703EC" w:rsidP="007703EC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7703EC" w:rsidRPr="0022355A" w:rsidRDefault="007703EC" w:rsidP="007703EC">
      <w:pPr>
        <w:pStyle w:val="a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7703EC" w:rsidRPr="0022355A" w:rsidRDefault="007703EC" w:rsidP="007703EC">
      <w:pPr>
        <w:pStyle w:val="a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7703EC" w:rsidRPr="0022355A" w:rsidRDefault="007703EC" w:rsidP="007703EC">
      <w:pPr>
        <w:pStyle w:val="Style5"/>
        <w:widowControl/>
        <w:rPr>
          <w:sz w:val="22"/>
          <w:szCs w:val="22"/>
        </w:rPr>
      </w:pPr>
    </w:p>
    <w:p w:rsidR="007703EC" w:rsidRPr="0022355A" w:rsidRDefault="007703EC" w:rsidP="007703EC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7703EC" w:rsidRPr="0022355A" w:rsidRDefault="007703EC" w:rsidP="007703EC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7703EC" w:rsidRPr="0022355A" w:rsidRDefault="007703EC" w:rsidP="007703E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7703EC" w:rsidRPr="0022355A" w:rsidRDefault="007703EC" w:rsidP="007703E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7703EC" w:rsidRPr="0022355A" w:rsidRDefault="007703EC" w:rsidP="007703EC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9"/>
      </w:tblGrid>
      <w:tr w:rsidR="007703EC" w:rsidRPr="00F2152D" w:rsidTr="000F2C34">
        <w:tc>
          <w:tcPr>
            <w:tcW w:w="5040" w:type="dxa"/>
            <w:shd w:val="clear" w:color="auto" w:fill="auto"/>
          </w:tcPr>
          <w:p w:rsidR="007703EC" w:rsidRDefault="007703EC" w:rsidP="000F2C34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7703EC" w:rsidRPr="00F2152D" w:rsidRDefault="007703EC" w:rsidP="000F2C34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7703EC" w:rsidRDefault="007703EC" w:rsidP="000F2C34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7703EC" w:rsidRPr="00F2152D" w:rsidRDefault="007703EC" w:rsidP="000F2C34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7703EC" w:rsidRPr="00F2152D" w:rsidRDefault="007703EC" w:rsidP="000F2C34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7703EC" w:rsidRPr="00F2152D" w:rsidRDefault="007703EC" w:rsidP="000F2C34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7703EC" w:rsidRPr="00F2152D" w:rsidRDefault="007703EC" w:rsidP="000F2C34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5F7453" w:rsidRDefault="005F7453"/>
    <w:sectPr w:rsidR="005F7453" w:rsidSect="007703EC">
      <w:pgSz w:w="11906" w:h="16838"/>
      <w:pgMar w:top="993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EC"/>
    <w:rsid w:val="005F7453"/>
    <w:rsid w:val="0077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E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7703EC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70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7703EC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7703E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7703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7703EC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7703EC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7703E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7703E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7703EC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7703EC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7703E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3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3EC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7703EC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703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7703EC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7703E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7703E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7703EC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7703EC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7703EC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7703EC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7703EC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7703EC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7703EC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3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2663</Words>
  <Characters>15183</Characters>
  <Application>Microsoft Office Word</Application>
  <DocSecurity>0</DocSecurity>
  <Lines>126</Lines>
  <Paragraphs>35</Paragraphs>
  <ScaleCrop>false</ScaleCrop>
  <Company/>
  <LinksUpToDate>false</LinksUpToDate>
  <CharactersWithSpaces>17811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1</cp:revision>
  <dcterms:created xsi:type="dcterms:W3CDTF">2023-07-26T01:00:00Z</dcterms:created>
  <dcterms:modified xsi:type="dcterms:W3CDTF">2023-07-26T01:05:00Z</dcterms:modified>
</cp:coreProperties>
</file>