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</w:t>
      </w:r>
      <w:bookmarkStart w:id="5" w:name="_GoBack"/>
      <w:bookmarkEnd w:id="5"/>
      <w:r w:rsidRPr="00334027">
        <w:rPr>
          <w:b/>
          <w:sz w:val="28"/>
          <w:szCs w:val="28"/>
        </w:rPr>
        <w:t>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6" w:name="OLE_LINK16"/>
      <w:bookmarkStart w:id="7" w:name="OLE_LINK17"/>
      <w:bookmarkStart w:id="8" w:name="OLE_LINK42"/>
      <w:bookmarkStart w:id="9" w:name="OLE_LINK43"/>
      <w:bookmarkStart w:id="10" w:name="OLE_LINK1885"/>
      <w:bookmarkStart w:id="11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2" w:name="OLE_LINK1875"/>
      <w:bookmarkStart w:id="13" w:name="OLE_LINK1876"/>
      <w:bookmarkStart w:id="14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5" w:name="OLE_LINK10"/>
      <w:bookmarkStart w:id="16" w:name="OLE_LINK11"/>
      <w:bookmarkStart w:id="17" w:name="OLE_LINK12"/>
      <w:r w:rsidRPr="00334027">
        <w:rPr>
          <w:b/>
          <w:sz w:val="28"/>
          <w:szCs w:val="28"/>
        </w:rPr>
        <w:t xml:space="preserve"> </w:t>
      </w:r>
      <w:bookmarkEnd w:id="15"/>
      <w:bookmarkEnd w:id="16"/>
      <w:bookmarkEnd w:id="17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F3645E">
        <w:rPr>
          <w:sz w:val="28"/>
          <w:szCs w:val="28"/>
        </w:rPr>
        <w:t>июня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84550C" w:rsidRDefault="0084550C" w:rsidP="0084550C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</w:p>
    <w:p w:rsidR="00334027" w:rsidRPr="00334027" w:rsidRDefault="0084550C" w:rsidP="0084550C">
      <w:pPr>
        <w:snapToGrid w:val="0"/>
        <w:jc w:val="center"/>
        <w:rPr>
          <w:b/>
        </w:rPr>
      </w:pPr>
      <w:r>
        <w:rPr>
          <w:b/>
          <w:sz w:val="32"/>
          <w:szCs w:val="32"/>
        </w:rPr>
        <w:t>железобетонных опор СВ-</w:t>
      </w:r>
      <w:r w:rsidR="00F3645E">
        <w:rPr>
          <w:b/>
          <w:sz w:val="32"/>
          <w:szCs w:val="32"/>
        </w:rPr>
        <w:t>95</w:t>
      </w:r>
      <w:r>
        <w:rPr>
          <w:b/>
          <w:sz w:val="32"/>
          <w:szCs w:val="32"/>
        </w:rPr>
        <w:t>-</w:t>
      </w:r>
      <w:r w:rsidR="00F3645E">
        <w:rPr>
          <w:b/>
          <w:sz w:val="32"/>
          <w:szCs w:val="32"/>
        </w:rPr>
        <w:t>3,</w:t>
      </w:r>
      <w:r>
        <w:rPr>
          <w:b/>
          <w:sz w:val="32"/>
          <w:szCs w:val="32"/>
        </w:rPr>
        <w:t>5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8" w:name="_Toc352559354"/>
    </w:p>
    <w:bookmarkEnd w:id="18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84550C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84550C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84550C" w:rsidRPr="0084550C">
        <w:rPr>
          <w:spacing w:val="-6"/>
        </w:rPr>
        <w:t xml:space="preserve"> 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r w:rsidRPr="00334027">
        <w:rPr>
          <w:lang w:val="en-US"/>
        </w:rPr>
        <w:t>mishenin</w:t>
      </w:r>
      <w:r w:rsidRPr="00334027">
        <w:t>@</w:t>
      </w:r>
      <w:r w:rsidRPr="00334027">
        <w:rPr>
          <w:lang w:val="en-US"/>
        </w:rPr>
        <w:t>elektroseti</w:t>
      </w:r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F3645E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F3645E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F3645E" w:rsidRPr="0084550C">
        <w:rPr>
          <w:spacing w:val="-6"/>
        </w:rPr>
        <w:t xml:space="preserve">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93146B">
        <w:rPr>
          <w:b/>
        </w:rPr>
        <w:t>792</w:t>
      </w:r>
      <w:r w:rsidR="005D484F">
        <w:rPr>
          <w:b/>
        </w:rPr>
        <w:t xml:space="preserve"> </w:t>
      </w:r>
      <w:r w:rsidR="0093146B">
        <w:rPr>
          <w:b/>
        </w:rPr>
        <w:t>000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93146B">
        <w:rPr>
          <w:b/>
        </w:rPr>
        <w:t>семьсот девяносто две тыс</w:t>
      </w:r>
      <w:r w:rsidR="0093146B">
        <w:rPr>
          <w:b/>
        </w:rPr>
        <w:t>я</w:t>
      </w:r>
      <w:r w:rsidR="0093146B">
        <w:rPr>
          <w:b/>
        </w:rPr>
        <w:t xml:space="preserve">чи 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F3645E">
        <w:rPr>
          <w:spacing w:val="-6"/>
        </w:rPr>
        <w:t>27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июня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05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F3645E">
        <w:rPr>
          <w:spacing w:val="-6"/>
        </w:rPr>
        <w:t>27</w:t>
      </w:r>
      <w:r w:rsidR="009D2C8D" w:rsidRPr="00334027">
        <w:rPr>
          <w:spacing w:val="-6"/>
        </w:rPr>
        <w:t xml:space="preserve"> </w:t>
      </w:r>
      <w:r w:rsidR="00F3645E">
        <w:rPr>
          <w:spacing w:val="-6"/>
        </w:rPr>
        <w:t>июн</w:t>
      </w:r>
      <w:r w:rsidR="009D2C8D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F3645E">
        <w:rPr>
          <w:spacing w:val="-6"/>
        </w:rPr>
        <w:t>30</w:t>
      </w:r>
      <w:r>
        <w:rPr>
          <w:spacing w:val="-6"/>
        </w:rPr>
        <w:t xml:space="preserve"> </w:t>
      </w:r>
      <w:r w:rsidR="00F3645E">
        <w:rPr>
          <w:spacing w:val="-6"/>
        </w:rPr>
        <w:t>июн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F3645E">
        <w:rPr>
          <w:spacing w:val="-6"/>
        </w:rPr>
        <w:t>05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D2C8D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F3645E">
        <w:rPr>
          <w:spacing w:val="-6"/>
        </w:rPr>
        <w:t>0</w:t>
      </w:r>
      <w:r w:rsidR="009D2C8D">
        <w:rPr>
          <w:spacing w:val="-6"/>
        </w:rPr>
        <w:t>5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позднее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9" w:name="_Toc122404097"/>
      <w:bookmarkStart w:id="20" w:name="_Ref119427269"/>
      <w:bookmarkStart w:id="21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9"/>
      <w:bookmarkEnd w:id="20"/>
      <w:bookmarkEnd w:id="21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2" w:name="_Toc122404099"/>
      <w:bookmarkStart w:id="23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93146B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36" w:rsidRPr="00DD697D" w:rsidRDefault="00E56436" w:rsidP="00E56436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F3645E" w:rsidRPr="0084550C">
              <w:rPr>
                <w:spacing w:val="-6"/>
              </w:rPr>
              <w:t>на поставку железобетонных опор СВ-</w:t>
            </w:r>
            <w:r w:rsidR="00F3645E">
              <w:rPr>
                <w:spacing w:val="-6"/>
              </w:rPr>
              <w:t>95</w:t>
            </w:r>
            <w:r w:rsidR="00F3645E" w:rsidRPr="0084550C">
              <w:rPr>
                <w:spacing w:val="-6"/>
              </w:rPr>
              <w:t>-</w:t>
            </w:r>
            <w:r w:rsidR="00F3645E">
              <w:rPr>
                <w:spacing w:val="-6"/>
              </w:rPr>
              <w:t>3,5</w:t>
            </w:r>
            <w:r w:rsidR="00F3645E" w:rsidRPr="0084550C">
              <w:rPr>
                <w:spacing w:val="-6"/>
              </w:rPr>
              <w:t xml:space="preserve"> для ООО «ОЭСК»</w:t>
            </w:r>
          </w:p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>
              <w:t>Согласно договора</w:t>
            </w:r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r>
              <w:t>Согласно договора</w:t>
            </w:r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93146B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93146B">
              <w:rPr>
                <w:sz w:val="24"/>
                <w:szCs w:val="24"/>
              </w:rPr>
              <w:t>792 000,00 (семьсот девяносто две тысячи 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>ший календарный год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F3645E">
              <w:t>27</w:t>
            </w:r>
            <w:r w:rsidRPr="00082A08">
              <w:t xml:space="preserve">» </w:t>
            </w:r>
            <w:r w:rsidR="00F3645E">
              <w:t>июн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F3645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F3645E">
              <w:rPr>
                <w:lang w:eastAsia="ar-SA"/>
              </w:rPr>
              <w:t>30</w:t>
            </w:r>
            <w:r w:rsidRPr="00082A08">
              <w:rPr>
                <w:lang w:eastAsia="ar-SA"/>
              </w:rPr>
              <w:t xml:space="preserve">»  </w:t>
            </w:r>
            <w:r w:rsidR="00F3645E">
              <w:rPr>
                <w:lang w:eastAsia="ar-SA"/>
              </w:rPr>
              <w:t>июн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случае,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F3645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F3645E">
              <w:t>27</w:t>
            </w:r>
            <w:r w:rsidRPr="003B23DF">
              <w:t xml:space="preserve"> </w:t>
            </w:r>
            <w:r w:rsidR="00F3645E">
              <w:t>июн</w:t>
            </w:r>
            <w:r w:rsidR="009D2C8D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F3645E">
              <w:t>0</w:t>
            </w:r>
            <w:r w:rsidR="009D2C8D">
              <w:t>5</w:t>
            </w:r>
            <w:r w:rsidRPr="003B23DF">
              <w:t xml:space="preserve">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F3645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F3645E">
              <w:rPr>
                <w:sz w:val="24"/>
                <w:szCs w:val="24"/>
              </w:rPr>
              <w:t>05</w:t>
            </w:r>
            <w:r w:rsidRPr="00715C21">
              <w:rPr>
                <w:sz w:val="24"/>
                <w:szCs w:val="24"/>
              </w:rPr>
              <w:t xml:space="preserve">» </w:t>
            </w:r>
            <w:r w:rsidR="00F3645E">
              <w:rPr>
                <w:sz w:val="24"/>
                <w:szCs w:val="24"/>
              </w:rPr>
              <w:t>ию</w:t>
            </w:r>
            <w:r w:rsidR="00E56436">
              <w:rPr>
                <w:sz w:val="24"/>
                <w:szCs w:val="24"/>
              </w:rPr>
              <w:t>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9D2C8D">
              <w:t>0</w:t>
            </w:r>
            <w:r w:rsidR="00F3645E">
              <w:t>5</w:t>
            </w:r>
            <w:r w:rsidRPr="003B23DF">
              <w:t xml:space="preserve">» </w:t>
            </w:r>
            <w:r w:rsidR="00F3645E">
              <w:t>ию</w:t>
            </w:r>
            <w:r w:rsidR="009D2C8D">
              <w:t>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F3645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F3645E">
              <w:t>0</w:t>
            </w:r>
            <w:r w:rsidR="009D2C8D">
              <w:t>5</w:t>
            </w:r>
            <w:r w:rsidRPr="003B23DF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6.9.3.5. отклонение конкурсных заявок, кот</w:t>
            </w:r>
            <w:r w:rsidRPr="000A574C">
              <w:t>о</w:t>
            </w:r>
            <w:r w:rsidRPr="000A574C">
              <w:t>рые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6.9.6. 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случае,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случае,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F3645E">
              <w:t>0</w:t>
            </w:r>
            <w:r w:rsidR="009D2C8D">
              <w:t>5</w:t>
            </w:r>
            <w:r w:rsidRPr="00334027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F3645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F3645E">
              <w:t>0</w:t>
            </w:r>
            <w:r w:rsidR="009D2C8D">
              <w:t>5</w:t>
            </w:r>
            <w:r w:rsidR="00E56436" w:rsidRPr="00334027">
              <w:t xml:space="preserve">» </w:t>
            </w:r>
            <w:r w:rsidR="00F3645E">
              <w:t>ию</w:t>
            </w:r>
            <w:r w:rsidR="00E56436">
              <w:t>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2"/>
    <w:bookmarkEnd w:id="23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7C74BE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>Критерий полностью обнуляется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84550C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4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4"/>
    </w:p>
    <w:p w:rsidR="004B120C" w:rsidRPr="007A22B1" w:rsidRDefault="004B120C" w:rsidP="004B120C">
      <w:pPr>
        <w:pStyle w:val="2"/>
      </w:pPr>
      <w:r w:rsidRPr="007A22B1">
        <w:br/>
      </w:r>
      <w:bookmarkStart w:id="25" w:name="_Toc122404100"/>
      <w:bookmarkStart w:id="26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5"/>
      <w:bookmarkEnd w:id="26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7" w:name="_Toc119343910"/>
      <w:r w:rsidRPr="00034807">
        <w:rPr>
          <w:b/>
        </w:rPr>
        <w:t>ОПИСЬ ДОКУМЕНТОВ,</w:t>
      </w:r>
      <w:bookmarkEnd w:id="27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F3645E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F3645E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F3645E" w:rsidRPr="0084550C">
        <w:rPr>
          <w:spacing w:val="-6"/>
        </w:rPr>
        <w:t xml:space="preserve">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8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9" w:name="_Toc435008336"/>
      <w:r>
        <w:lastRenderedPageBreak/>
        <w:t>1</w:t>
      </w:r>
      <w:r w:rsidRPr="007A22B1">
        <w:t xml:space="preserve">.4.2 ФОРМА ЗАЯВКИ НА УЧАСТИЕ В </w:t>
      </w:r>
      <w:bookmarkEnd w:id="28"/>
      <w:bookmarkEnd w:id="29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F3645E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F3645E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F3645E" w:rsidRPr="0084550C">
        <w:rPr>
          <w:spacing w:val="-6"/>
        </w:rPr>
        <w:t xml:space="preserve">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F3645E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F3645E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F3645E" w:rsidRPr="0084550C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>а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 xml:space="preserve">. В случае,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30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1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1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2" w:name="_Toc435008338"/>
      <w:bookmarkEnd w:id="30"/>
      <w:r w:rsidRPr="00997A2F">
        <w:rPr>
          <w:sz w:val="22"/>
          <w:szCs w:val="22"/>
        </w:rPr>
        <w:lastRenderedPageBreak/>
        <w:t xml:space="preserve">1.4.2.2. ФОРМА </w:t>
      </w:r>
      <w:bookmarkEnd w:id="32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F3645E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F3645E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F3645E" w:rsidRPr="0084550C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F3645E" w:rsidRPr="0084550C">
        <w:rPr>
          <w:spacing w:val="-6"/>
        </w:rPr>
        <w:t>на поставку железобетонных опор СВ-</w:t>
      </w:r>
      <w:r w:rsidR="00F3645E">
        <w:rPr>
          <w:spacing w:val="-6"/>
        </w:rPr>
        <w:t>95</w:t>
      </w:r>
      <w:r w:rsidR="00F3645E" w:rsidRPr="0084550C">
        <w:rPr>
          <w:spacing w:val="-6"/>
        </w:rPr>
        <w:t>-</w:t>
      </w:r>
      <w:r w:rsidR="00F3645E">
        <w:rPr>
          <w:spacing w:val="-6"/>
        </w:rPr>
        <w:t>3,5</w:t>
      </w:r>
      <w:r w:rsidR="00F3645E" w:rsidRPr="0084550C">
        <w:rPr>
          <w:spacing w:val="-6"/>
        </w:rPr>
        <w:t xml:space="preserve">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F3645E" w:rsidRPr="00F3645E">
        <w:rPr>
          <w:i/>
          <w:sz w:val="22"/>
          <w:szCs w:val="22"/>
          <w:u w:val="single"/>
        </w:rPr>
        <w:t>на поставку железоб</w:t>
      </w:r>
      <w:r w:rsidR="00F3645E" w:rsidRPr="00F3645E">
        <w:rPr>
          <w:i/>
          <w:sz w:val="22"/>
          <w:szCs w:val="22"/>
          <w:u w:val="single"/>
        </w:rPr>
        <w:t>е</w:t>
      </w:r>
      <w:r w:rsidR="00F3645E" w:rsidRPr="00F3645E">
        <w:rPr>
          <w:i/>
          <w:sz w:val="22"/>
          <w:szCs w:val="22"/>
          <w:u w:val="single"/>
        </w:rPr>
        <w:t>тонных опор СВ-95-3,5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3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3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4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4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5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6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6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г.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7" w:name="_Toc435008348"/>
      <w:bookmarkEnd w:id="35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7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8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8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9" w:name="_ЧАСТЬ_II._ПРОЕКТ_ГОСУДАРСТВЕННОГО_К"/>
      <w:bookmarkStart w:id="40" w:name="_Toc122404110"/>
      <w:bookmarkStart w:id="41" w:name="_Toc435008352"/>
      <w:bookmarkEnd w:id="39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40"/>
      <w:r w:rsidRPr="00966CBB">
        <w:rPr>
          <w:b/>
        </w:rPr>
        <w:t>ДОГОВОРА</w:t>
      </w:r>
      <w:bookmarkEnd w:id="41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271360644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2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стойки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лезобетонные стойки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2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2023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доначисленных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обязательств стороной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F3645E">
        <w:rPr>
          <w:rFonts w:ascii="Times New Roman" w:eastAsia="Times New Roman" w:hAnsi="Times New Roman"/>
          <w:lang w:eastAsia="ru-RU"/>
        </w:rPr>
        <w:t>17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F3645E">
        <w:rPr>
          <w:rFonts w:ascii="Times New Roman" w:eastAsia="Times New Roman" w:hAnsi="Times New Roman"/>
          <w:lang w:eastAsia="ru-RU"/>
        </w:rPr>
        <w:t>июл</w:t>
      </w:r>
      <w:r w:rsidR="00746F88">
        <w:rPr>
          <w:rFonts w:ascii="Times New Roman" w:eastAsia="Times New Roman" w:hAnsi="Times New Roman"/>
          <w:lang w:eastAsia="ru-RU"/>
        </w:rPr>
        <w:t>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9D2C8D">
        <w:rPr>
          <w:rFonts w:ascii="Times New Roman" w:eastAsia="Times New Roman" w:hAnsi="Times New Roman"/>
          <w:lang w:eastAsia="ru-RU"/>
        </w:rPr>
        <w:t>3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р/с: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271360644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F3645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84550C">
              <w:rPr>
                <w:spacing w:val="-6"/>
              </w:rPr>
              <w:t>на поставку железобетонных опор СВ-</w:t>
            </w:r>
            <w:r>
              <w:rPr>
                <w:spacing w:val="-6"/>
              </w:rPr>
              <w:t>95</w:t>
            </w:r>
            <w:r w:rsidRPr="0084550C">
              <w:rPr>
                <w:spacing w:val="-6"/>
              </w:rPr>
              <w:t>-</w:t>
            </w:r>
            <w:r>
              <w:rPr>
                <w:spacing w:val="-6"/>
              </w:rPr>
              <w:t>3,5</w:t>
            </w:r>
            <w:r w:rsidRPr="0084550C">
              <w:rPr>
                <w:spacing w:val="-6"/>
              </w:rPr>
              <w:t xml:space="preserve">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157B61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B01286">
        <w:rPr>
          <w:b/>
          <w:szCs w:val="22"/>
        </w:rPr>
        <w:t>Железобетонные опоры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157B61" w:rsidP="00F3645E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 w:rsidR="00F3645E">
              <w:rPr>
                <w:sz w:val="22"/>
                <w:szCs w:val="22"/>
              </w:rPr>
              <w:t>95-3,5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F3645E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246801" w:rsidRDefault="00246801" w:rsidP="00246801">
      <w:pPr>
        <w:pStyle w:val="ListNum"/>
        <w:numPr>
          <w:ilvl w:val="0"/>
          <w:numId w:val="0"/>
        </w:numPr>
        <w:tabs>
          <w:tab w:val="clear" w:pos="284"/>
        </w:tabs>
        <w:ind w:left="709" w:firstLine="425"/>
      </w:pPr>
      <w:r w:rsidRPr="00E4186C">
        <w:t>Заказ товара</w:t>
      </w:r>
      <w:r>
        <w:t xml:space="preserve"> и его поставка</w:t>
      </w:r>
      <w:r w:rsidRPr="00E4186C">
        <w:t xml:space="preserve"> не определяется никакими графиками, а только по запросу </w:t>
      </w:r>
      <w:r>
        <w:t>З</w:t>
      </w:r>
      <w:r w:rsidRPr="00E4186C">
        <w:t>а</w:t>
      </w:r>
      <w:r w:rsidRPr="00E4186C">
        <w:t>ка</w:t>
      </w:r>
      <w:r>
        <w:t>з</w:t>
      </w:r>
      <w:r w:rsidRPr="00E4186C">
        <w:t>ч</w:t>
      </w:r>
      <w:r>
        <w:t>и</w:t>
      </w:r>
      <w:r w:rsidRPr="00E4186C">
        <w:t>к</w:t>
      </w:r>
      <w:r>
        <w:t>а</w:t>
      </w:r>
      <w:r w:rsidRPr="00E4186C">
        <w:t>.</w:t>
      </w:r>
      <w:r>
        <w:t xml:space="preserve"> Данный товар может быть не выбран на всю сумму контракта, а определяется потре</w:t>
      </w:r>
      <w:r>
        <w:t>б</w:t>
      </w:r>
      <w:r>
        <w:t>ностями и объемами Заказчика. Товар может быть заказан как от одной штуки, так и определе</w:t>
      </w:r>
      <w:r>
        <w:t>н</w:t>
      </w:r>
      <w:r>
        <w:t>ными партиями. Склад поставщика с готовой продукцией должен находиться в Кемеровской о</w:t>
      </w:r>
      <w:r>
        <w:t>б</w:t>
      </w:r>
      <w:r>
        <w:t>ласти. И со дня момента заявки Заказчика, товар должен быть доставлен на склад Заказчика в течении 24-х часов.</w:t>
      </w:r>
    </w:p>
    <w:p w:rsidR="00246801" w:rsidRDefault="00246801" w:rsidP="00246801">
      <w:pPr>
        <w:pStyle w:val="ListNum"/>
        <w:numPr>
          <w:ilvl w:val="0"/>
          <w:numId w:val="0"/>
        </w:numPr>
        <w:tabs>
          <w:tab w:val="clear" w:pos="284"/>
        </w:tabs>
        <w:ind w:left="709" w:firstLine="425"/>
      </w:pPr>
      <w:r>
        <w:t>Поставщик должен являться производителем данной продукции!</w:t>
      </w:r>
    </w:p>
    <w:p w:rsidR="00047AD4" w:rsidRPr="00246801" w:rsidRDefault="00047AD4" w:rsidP="00246801">
      <w:pPr>
        <w:pStyle w:val="ListNum"/>
      </w:pPr>
      <w:r w:rsidRPr="00047AD4">
        <w:t xml:space="preserve">Товар должен быть поставлен до </w:t>
      </w:r>
      <w:r w:rsidR="00F3645E">
        <w:t>17</w:t>
      </w:r>
      <w:r w:rsidRPr="00047AD4">
        <w:t xml:space="preserve"> </w:t>
      </w:r>
      <w:r w:rsidR="00F3645E">
        <w:t>ию</w:t>
      </w:r>
      <w:r w:rsidRPr="00047AD4">
        <w:t>ля 2023 г</w:t>
      </w:r>
      <w:r>
        <w:rPr>
          <w:sz w:val="26"/>
          <w:szCs w:val="28"/>
        </w:rPr>
        <w:t>.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246801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5</w:t>
      </w:r>
      <w:r w:rsidR="00157B61"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</w:t>
      </w:r>
      <w:r w:rsidR="00157B61" w:rsidRPr="00B01286">
        <w:rPr>
          <w:sz w:val="22"/>
          <w:szCs w:val="22"/>
        </w:rPr>
        <w:t>е</w:t>
      </w:r>
      <w:r w:rsidR="00157B61"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246801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5</w:t>
      </w:r>
      <w:r w:rsidR="00157B61"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246801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5</w:t>
      </w:r>
      <w:r w:rsidR="00157B61" w:rsidRPr="00B01286">
        <w:rPr>
          <w:sz w:val="22"/>
          <w:szCs w:val="22"/>
        </w:rPr>
        <w:t>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F3645E">
        <w:rPr>
          <w:sz w:val="22"/>
          <w:szCs w:val="22"/>
        </w:rPr>
        <w:t>3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с даты производства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24680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57B61" w:rsidRPr="00B01286">
        <w:rPr>
          <w:rFonts w:ascii="Times New Roman" w:hAnsi="Times New Roman"/>
        </w:rPr>
        <w:t>.4.</w:t>
      </w:r>
      <w:r w:rsidR="00157B61" w:rsidRPr="00B01286">
        <w:t xml:space="preserve"> </w:t>
      </w:r>
      <w:r w:rsidR="00157B61"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рии Кемеровской области, воизбежании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246801" w:rsidRPr="00246801" w:rsidRDefault="00157B61" w:rsidP="00246801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246801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управленческой компетентностью, опытом и репутацией, иметь ресурсные возможности (финанс</w:t>
      </w:r>
      <w:r w:rsidRPr="00246801">
        <w:rPr>
          <w:rFonts w:ascii="Times New Roman" w:hAnsi="Times New Roman"/>
        </w:rPr>
        <w:t>о</w:t>
      </w:r>
      <w:r w:rsidRPr="00246801">
        <w:rPr>
          <w:rFonts w:ascii="Times New Roman" w:hAnsi="Times New Roman"/>
        </w:rPr>
        <w:t>вые, материально-технические, производственные, трудовые);</w:t>
      </w:r>
    </w:p>
    <w:p w:rsidR="00246801" w:rsidRPr="00246801" w:rsidRDefault="00157B61" w:rsidP="00246801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246801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157B61" w:rsidRPr="00246801" w:rsidRDefault="00157B61" w:rsidP="00246801">
      <w:pPr>
        <w:pStyle w:val="afff3"/>
        <w:numPr>
          <w:ilvl w:val="1"/>
          <w:numId w:val="23"/>
        </w:numPr>
      </w:pPr>
      <w:r w:rsidRPr="00246801">
        <w:rPr>
          <w:rFonts w:ascii="Times New Roman" w:hAnsi="Times New Roman"/>
        </w:rPr>
        <w:t>Участник конкурса должен предоставить:</w:t>
      </w:r>
    </w:p>
    <w:p w:rsidR="00157B61" w:rsidRPr="00246801" w:rsidRDefault="00157B61" w:rsidP="00246801">
      <w:pPr>
        <w:ind w:firstLine="360"/>
      </w:pPr>
      <w:r w:rsidRPr="00246801">
        <w:t>- сертификат (свидетельство) официального дилера, либо гарантийное письмо завода изг</w:t>
      </w:r>
      <w:r w:rsidRPr="00246801">
        <w:t>о</w:t>
      </w:r>
      <w:r w:rsidRPr="00246801">
        <w:t xml:space="preserve">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246801" w:rsidRPr="00246801" w:rsidRDefault="00157B61" w:rsidP="00246801">
      <w:pPr>
        <w:ind w:firstLine="360"/>
      </w:pPr>
      <w:r w:rsidRPr="00246801">
        <w:t>- декларация соответствия ТР ТС.</w:t>
      </w:r>
    </w:p>
    <w:p w:rsidR="00157B61" w:rsidRPr="00246801" w:rsidRDefault="00246801" w:rsidP="00246801">
      <w:r w:rsidRPr="00246801">
        <w:t xml:space="preserve">6.4. </w:t>
      </w:r>
      <w:r w:rsidR="00157B61" w:rsidRPr="00246801"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</w:t>
      </w:r>
      <w:r w:rsidR="00157B61" w:rsidRPr="00246801">
        <w:t>о</w:t>
      </w:r>
      <w:r w:rsidR="00157B61" w:rsidRPr="00246801">
        <w:t>рядке.</w:t>
      </w:r>
    </w:p>
    <w:p w:rsidR="00157B61" w:rsidRPr="00246801" w:rsidRDefault="00246801" w:rsidP="00246801">
      <w:r w:rsidRPr="00246801">
        <w:t>6</w:t>
      </w:r>
      <w:r w:rsidR="00157B61" w:rsidRPr="00246801"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</w:t>
      </w:r>
      <w:r w:rsidR="00157B61" w:rsidRPr="00246801">
        <w:t>е</w:t>
      </w:r>
      <w:r w:rsidR="00157B61" w:rsidRPr="00246801">
        <w:t>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</w:t>
      </w:r>
      <w:r w:rsidR="00157B61" w:rsidRPr="00246801">
        <w:t>о</w:t>
      </w:r>
      <w:r w:rsidR="00157B61" w:rsidRPr="00246801">
        <w:t>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>В.В. Беззубцев</w:t>
      </w: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отдела ООО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lastRenderedPageBreak/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5E" w:rsidRDefault="00F3645E">
      <w:r>
        <w:separator/>
      </w:r>
    </w:p>
  </w:endnote>
  <w:endnote w:type="continuationSeparator" w:id="0">
    <w:p w:rsidR="00F3645E" w:rsidRDefault="00F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5E" w:rsidRDefault="00F3645E">
      <w:r>
        <w:separator/>
      </w:r>
    </w:p>
  </w:footnote>
  <w:footnote w:type="continuationSeparator" w:id="0">
    <w:p w:rsidR="00F3645E" w:rsidRDefault="00F36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Pr="00A80EBF" w:rsidRDefault="00F3645E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93146B">
      <w:rPr>
        <w:sz w:val="20"/>
      </w:rPr>
      <w:t>1</w:t>
    </w:r>
    <w:r w:rsidRPr="00A80EBF">
      <w:rPr>
        <w:sz w:val="20"/>
      </w:rPr>
      <w:fldChar w:fldCharType="end"/>
    </w:r>
  </w:p>
  <w:p w:rsidR="00F3645E" w:rsidRDefault="00F3645E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Default="00F3645E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F3645E" w:rsidRDefault="00F3645E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Pr="00A80EBF" w:rsidRDefault="00F3645E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93146B">
      <w:rPr>
        <w:sz w:val="20"/>
      </w:rPr>
      <w:t>26</w:t>
    </w:r>
    <w:r w:rsidRPr="00A80EBF">
      <w:rPr>
        <w:sz w:val="20"/>
      </w:rPr>
      <w:fldChar w:fldCharType="end"/>
    </w:r>
  </w:p>
  <w:p w:rsidR="00F3645E" w:rsidRDefault="00F3645E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5E" w:rsidRPr="00110B92" w:rsidRDefault="00F3645E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93146B">
      <w:rPr>
        <w:sz w:val="20"/>
      </w:rPr>
      <w:t>40</w:t>
    </w:r>
    <w:r w:rsidRPr="00110B92">
      <w:rPr>
        <w:sz w:val="20"/>
      </w:rPr>
      <w:fldChar w:fldCharType="end"/>
    </w:r>
  </w:p>
  <w:p w:rsidR="00F3645E" w:rsidRDefault="00F3645E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1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2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</w:num>
  <w:num w:numId="4">
    <w:abstractNumId w:val="10"/>
  </w:num>
  <w:num w:numId="5">
    <w:abstractNumId w:val="21"/>
  </w:num>
  <w:num w:numId="6">
    <w:abstractNumId w:val="4"/>
  </w:num>
  <w:num w:numId="7">
    <w:abstractNumId w:val="6"/>
  </w:num>
  <w:num w:numId="8">
    <w:abstractNumId w:val="20"/>
  </w:num>
  <w:num w:numId="9">
    <w:abstractNumId w:val="19"/>
  </w:num>
  <w:num w:numId="10">
    <w:abstractNumId w:val="15"/>
  </w:num>
  <w:num w:numId="11">
    <w:abstractNumId w:val="11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2"/>
  </w:num>
  <w:num w:numId="17">
    <w:abstractNumId w:val="1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7"/>
  </w:num>
  <w:num w:numId="21">
    <w:abstractNumId w:val="9"/>
  </w:num>
  <w:num w:numId="22">
    <w:abstractNumId w:val="11"/>
    <w:lvlOverride w:ilvl="0">
      <w:startOverride w:val="5"/>
    </w:lvlOverride>
  </w:num>
  <w:num w:numId="2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F3FE3-D272-47C0-9614-F10BD06F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40</Pages>
  <Words>9221</Words>
  <Characters>69521</Characters>
  <Application>Microsoft Office Word</Application>
  <DocSecurity>0</DocSecurity>
  <Lines>579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78585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37</cp:revision>
  <cp:lastPrinted>2023-06-26T04:15:00Z</cp:lastPrinted>
  <dcterms:created xsi:type="dcterms:W3CDTF">2019-07-11T08:24:00Z</dcterms:created>
  <dcterms:modified xsi:type="dcterms:W3CDTF">2023-06-26T04:15:00Z</dcterms:modified>
</cp:coreProperties>
</file>